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Attention Deficit/Hyperactivity Disorder (ADHD)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Planning and following a basic routine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a part of a Support group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Occupational therapist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Including physical activities in your daily routine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Respecting their routine and avoiding distraction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Speech therapist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Taking help for incomplete work.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Giving clear, simple instructions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Behavioural therapist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Breaking task into manageable smaller task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Setting realistic and achievable goals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Remedial educational programme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Having only task essential things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Praising positive behaviour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Family therapist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Being aware of your attention span and take short breaks in-between activities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Helping them plan a healthy diet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Psychologist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Monitoring your diet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 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